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91" w:rsidRDefault="00937F91">
      <w:pPr>
        <w:widowControl w:val="0"/>
        <w:autoSpaceDE w:val="0"/>
        <w:autoSpaceDN w:val="0"/>
        <w:adjustRightInd w:val="0"/>
        <w:spacing w:after="140" w:line="280" w:lineRule="atLeast"/>
        <w:ind w:right="180"/>
        <w:rPr>
          <w:rFonts w:ascii="Times New Roman" w:hAnsi="Times New Roman"/>
          <w:sz w:val="28"/>
          <w:szCs w:val="28"/>
        </w:rPr>
      </w:pPr>
      <w:r>
        <w:rPr>
          <w:rFonts w:ascii="Times New Roman" w:hAnsi="Times New Roman"/>
          <w:sz w:val="28"/>
          <w:szCs w:val="28"/>
        </w:rPr>
        <w:t>Dear Mr. F.</w:t>
      </w:r>
    </w:p>
    <w:p w:rsidR="00937F91" w:rsidRDefault="00937F91">
      <w:pPr>
        <w:widowControl w:val="0"/>
        <w:autoSpaceDE w:val="0"/>
        <w:autoSpaceDN w:val="0"/>
        <w:adjustRightInd w:val="0"/>
        <w:spacing w:after="140" w:line="280" w:lineRule="atLeast"/>
        <w:ind w:right="180"/>
        <w:rPr>
          <w:rFonts w:ascii="Times New Roman" w:hAnsi="Times New Roman"/>
          <w:sz w:val="28"/>
          <w:szCs w:val="28"/>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Times New Roman" w:hAnsi="Times New Roman"/>
          <w:sz w:val="28"/>
          <w:szCs w:val="28"/>
        </w:rPr>
        <w:tab/>
        <w:t>Oh yes, those upstart nobles and their campaign contributions.  Well, perhaps something could be done.  For example:</w:t>
      </w:r>
    </w:p>
    <w:p w:rsidR="00937F91" w:rsidRDefault="00937F91">
      <w:pPr>
        <w:widowControl w:val="0"/>
        <w:autoSpaceDE w:val="0"/>
        <w:autoSpaceDN w:val="0"/>
        <w:adjustRightInd w:val="0"/>
        <w:spacing w:after="140" w:line="280" w:lineRule="atLeast"/>
        <w:ind w:right="180"/>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4"/>
          <w:szCs w:val="24"/>
        </w:rPr>
        <w:tab/>
      </w:r>
      <w:r>
        <w:rPr>
          <w:rFonts w:ascii="Arial" w:hAnsi="Arial" w:cs="Arial"/>
          <w:b/>
          <w:bCs/>
        </w:rPr>
        <w:t>Ferdinand V,</w:t>
      </w:r>
      <w:r>
        <w:rPr>
          <w:rFonts w:ascii="Arial" w:hAnsi="Arial" w:cs="Arial"/>
          <w:sz w:val="26"/>
          <w:szCs w:val="26"/>
        </w:rPr>
        <w:t xml:space="preserve"> </w:t>
      </w:r>
      <w:r>
        <w:rPr>
          <w:rFonts w:ascii="Arial" w:hAnsi="Arial" w:cs="Arial"/>
        </w:rPr>
        <w:t>called The Catholic (1452-1516), king of Castile (1474-1504); as Ferdinand II he was also king of Sicily (1468-1516) and of Aragón (1479-1516); as Ferdinand III, king of Naples (1504-1516). He was the son of King John II of Aragón.</w:t>
      </w:r>
    </w:p>
    <w:p w:rsidR="00937F91" w:rsidRDefault="00937F91">
      <w:pPr>
        <w:widowControl w:val="0"/>
        <w:autoSpaceDE w:val="0"/>
        <w:autoSpaceDN w:val="0"/>
        <w:adjustRightInd w:val="0"/>
        <w:spacing w:after="140" w:line="280" w:lineRule="atLeast"/>
        <w:ind w:right="180"/>
        <w:rPr>
          <w:rFonts w:ascii="Arial" w:hAnsi="Arial" w:cs="Arial"/>
        </w:rPr>
      </w:pPr>
      <w:r>
        <w:rPr>
          <w:rFonts w:ascii="Arial" w:hAnsi="Arial" w:cs="Arial"/>
        </w:rPr>
        <w:tab/>
        <w:t>The union of the Spanish kingdoms of Aragón and Castile was effected in 1469 by Ferdinand's marriage to his cousin Isabella I, queen of Castile. Ferdinand had hoped by this alliance to obtain the Castilian crown for himself, but his high-spirited and politically astute wife firmly retained sovereign authority in her own realm. The political philosophies of the two rulers were almost identical, however, and their reign was inaugurated with the promulgation of energetic and sweeping measures designed to strengthen the royal authority and to curb the power of the nobles, who had usurped many privileges and functions of the Crown.</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To this end, in 1476 Ferdinand organized the Santa Hermandad, or Holy Brotherhood, a kind of national military police. Insistence on religious conformity was one of their basic policies. In 1478 a bull issued by Pope Sixtus IV empowered the king and queen to appoint three inquisitors to deal with heretics and other offenders against the church; this marked the beginning of the Spanish Inquisition. The Inquisition targeted non-Christians, especially Marranos, Jews who had insincerely converted to Christianity for their own security. Although founded to further religious ends, the Inquisition in Spain became a political instrument of the absolute monarchy, further abridging the power of the nobles and bringing the monarchy closer to the church.</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The year 1492 was the most notable of Ferdinand's reign. It opened with the conquest of the province of Granada, which marked the victorious conclusion of the long struggle against the Moors. In August Christopher Columbus, sponsored by Ferdinand and Isabella, set sail from the small Spanish seaport of Palos on his epoch-making voyage to America, which was the first step in the creation of the Spanish overseas colonial empire. Also in 1492 the monarchy cruelly expelled about 150,000 Jews. In 1493, by the terms of a treaty between Spain and France, Ferdinand recovered from King Charles VIII of France the ancient province of Roussillon (now forming the French department of Pyrénées-Orientales), which Ferdinand's father had mortgaged to King Louis XI of France.</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 xml:space="preserve">Because his daughter Joanna the Mad was insane, Ferdinand assumed the regency of Castile in 1506. He joined the League of Cambrai against the republic of Venice in 1508, and conquered Oran and Tripoli on the North African coast in 1509. He annexed the kingdom of Navarre in 1512, thereby extending the borders of Spain from the Pyrenees Mountains to the Rock of Gibraltar. Ferdinand was in many ways a competent ruler. His reign, however, was </w:t>
      </w:r>
      <w:r>
        <w:rPr>
          <w:rFonts w:ascii="Arial" w:hAnsi="Arial" w:cs="Arial"/>
        </w:rPr>
        <w:lastRenderedPageBreak/>
        <w:t xml:space="preserve">characterized by an insatiable thirst for power, and he was both cruel and perfidious. He was succeeded by his grandson Charles (Holy Roman Emperor Charles V). </w:t>
      </w:r>
      <w:r w:rsidRPr="00572E84">
        <w:rPr>
          <w:rStyle w:val="FootnoteReference"/>
        </w:rPr>
        <w:footnoteReference w:id="1"/>
      </w:r>
    </w:p>
    <w:p w:rsidR="00937F91" w:rsidRDefault="00937F91">
      <w:pPr>
        <w:widowControl w:val="0"/>
        <w:autoSpaceDE w:val="0"/>
        <w:autoSpaceDN w:val="0"/>
        <w:adjustRightInd w:val="0"/>
        <w:spacing w:after="140" w:line="280" w:lineRule="atLeast"/>
        <w:ind w:right="180"/>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Times New Roman" w:hAnsi="Times New Roman"/>
          <w:sz w:val="24"/>
          <w:szCs w:val="24"/>
        </w:rPr>
        <w:tab/>
      </w:r>
      <w:r>
        <w:rPr>
          <w:rFonts w:ascii="Arial" w:hAnsi="Arial" w:cs="Arial"/>
        </w:rPr>
        <w:t>Alarmed by the spread of Protestantism and especially by its penetration into Italy, Pope Paul III in 1542 heeded reformers such as Cardinal Gian Pietro Carafa and established in Rome the Congregation of the Inquisition, also known as the Roman Inquisition and the Holy Office. Six cardinals, including Carafa, constituted the original commission, whose powers extended to the whole church. The Holy Office was really a new institution, related to the medieval Inquisition only by vague precedents. Freer from episcopal control than its predecessor, it also conceived of its function differently. Whereas the medieval Inquisition focused on popular misbeliefs that resulted in the disturbance of public order, the Holy Office was generally concerned with orthodoxy of a more academic nature, especially as it appeared in the writings of theologians and high churchmen.</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In the first dozen years or so, the activities of the Roman Inquisition were relatively modest, restricted almost exclusively to Italy. When Carafa became Pope Paul IV in 1555, he urged a vigorous pursuit of suspects, not sparing bishops or even cardinals (such as the English prelate Reginald Pole). He meanwhile charged the Congregation to draw up a list of books that offended faith or morals, and as a result he approved and published the first Index of Forbidden Books in 1559. Although later popes tempered the zeal of the Roman Inquisition, they began to see it as the customary instrument of papal government for regulating church order and doctrinal orthodoxy; for example, it tried and condemned Galileo in 1633. In 1965 Pope Paul VI, responding to many complaints, reorganized the Holy Office and renamed it the Congregation for the Doctrine of the Faith.</w:t>
      </w:r>
    </w:p>
    <w:p w:rsidR="00937F91" w:rsidRDefault="00937F91">
      <w:pPr>
        <w:widowControl w:val="0"/>
        <w:autoSpaceDE w:val="0"/>
        <w:autoSpaceDN w:val="0"/>
        <w:adjustRightInd w:val="0"/>
        <w:spacing w:after="0" w:line="240" w:lineRule="auto"/>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b/>
          <w:bCs/>
        </w:rPr>
        <w:tab/>
      </w:r>
      <w:r>
        <w:rPr>
          <w:rFonts w:ascii="Arial" w:hAnsi="Arial" w:cs="Arial"/>
        </w:rPr>
        <w:t>Also distinct from the medieval Inquisition, the Spanish Inquisition was established with papal approval in 1478 at the request of King Ferdinand V and Queen Isabella I. This Inquisition was to deal with the problem of Marranos, Jews who through coercion or social pressure had insincerely converted to Christianity; after 1502, it turned its attention to similar converts from Islam, and in the 1520s to persons suspected of Protestantism. Within a few years of the founding of the Inquisition, the papacy relinquished virtually all supervision of it to the sovereigns. Thus, the Spanish Inquisition became more an instrument of the state than of the church, although churchmen, especially Dominicans, always functioned as its officers.</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 xml:space="preserve">It was centrally directed by the Supreme Council of the Inquisition, but its procedures were similar to its medieval counterpart. It became in time a byword, particularly in Protestant areas, for cruelty and obscurantism, but its methods were much the same as those of similar institutions in other Roman Catholic and Protestant countries of Europe. Nevertheless, its superior organization and the consistency of the support it received from the Spanish monarchs, especially Philip II, assured that it would have a greater impact on religion, politics, and culture than comparable institutions elsewhere. This efficiency and political support </w:t>
      </w:r>
      <w:r>
        <w:rPr>
          <w:rFonts w:ascii="Arial" w:hAnsi="Arial" w:cs="Arial"/>
        </w:rPr>
        <w:lastRenderedPageBreak/>
        <w:t>enabled Tomás de Torquemada, the first and most notorious grand inquisitor, to execute thousands of reputed heretics.</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 xml:space="preserve">The grand inquisitor and his tribunal had jurisdiction over local tribunals in colonies such as Mexico and Peru, which were usually more concerned with sorcery than heresy. Holy Roman Emperor Charles V introduced the Inquisition into the Netherlands in 1522, where it failed to wipe out Protestantism. The Spanish established it in Sicily in 1517, but were unable to do so in Naples and Milan. Historians have noted that many Protestant lands had institutions as repressive as the Spanish Inquisition, such as the consistory in Geneva at the time of the French reformer John Calvin. The Inquisition was finally suppressed in Spain in 1834. </w:t>
      </w:r>
      <w:r w:rsidRPr="00572E84">
        <w:rPr>
          <w:rStyle w:val="FootnoteReference"/>
        </w:rPr>
        <w:footnoteReference w:id="2"/>
      </w:r>
    </w:p>
    <w:p w:rsidR="00937F91" w:rsidRDefault="00937F91">
      <w:pPr>
        <w:widowControl w:val="0"/>
        <w:autoSpaceDE w:val="0"/>
        <w:autoSpaceDN w:val="0"/>
        <w:adjustRightInd w:val="0"/>
        <w:spacing w:after="140" w:line="280" w:lineRule="atLeast"/>
        <w:ind w:right="180"/>
        <w:rPr>
          <w:rFonts w:ascii="Arial" w:hAnsi="Arial" w:cs="Arial"/>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140" w:line="280" w:lineRule="atLeast"/>
        <w:ind w:right="180"/>
        <w:rPr>
          <w:rFonts w:ascii="Arial" w:hAnsi="Arial" w:cs="Arial"/>
        </w:rPr>
      </w:pPr>
      <w:r>
        <w:rPr>
          <w:rFonts w:ascii="Times New Roman" w:hAnsi="Times New Roman"/>
          <w:sz w:val="24"/>
          <w:szCs w:val="24"/>
        </w:rPr>
        <w:tab/>
      </w:r>
      <w:r>
        <w:rPr>
          <w:rFonts w:ascii="Arial" w:hAnsi="Arial" w:cs="Arial"/>
        </w:rPr>
        <w:t>The peaceful Spanish era ended in the middle of the 13th century, with the waning of Muslim domination in the Iberian Peninsula. Under the Catholic monarchs, Spanish Jews were forced into the lowly position of other European Jews. During the Middle Ages, persecution of Jews in Christian countries was the rule. Much of this persecution was unleashed by mobs who condemned every Jew as one who had taken part in the martyrdom of Jesus. During the Crusades (1095-1270), thousands of Jews were massacred in the religious fervor of the period.</w:t>
      </w:r>
    </w:p>
    <w:p w:rsidR="00937F91" w:rsidRDefault="00937F91">
      <w:pPr>
        <w:widowControl w:val="0"/>
        <w:autoSpaceDE w:val="0"/>
        <w:autoSpaceDN w:val="0"/>
        <w:adjustRightInd w:val="0"/>
        <w:spacing w:after="140" w:line="280" w:lineRule="atLeast"/>
        <w:ind w:right="180"/>
        <w:rPr>
          <w:rFonts w:ascii="Arial" w:hAnsi="Arial" w:cs="Arial"/>
        </w:rPr>
      </w:pPr>
      <w:r>
        <w:rPr>
          <w:rFonts w:ascii="Arial" w:hAnsi="Arial" w:cs="Arial"/>
        </w:rPr>
        <w:tab/>
        <w:t>In 1215 the Fourth Lateran Council of the Roman Catholic church, called by Pope Innocent III, proclaimed an official policy of restrictions, similar to the Code of Omar, and ordered all Jews to wear distinctive badges. Throughout Europe Jews were despised. In cities they were forced to live in special areas, called ghettos, and were not permitted freedom of movement. During the 13th and 14th centuries several European monarchs filled their treasuries by confiscating Jewish property and expelling the owners. In 1290 King Edward I of England beggared and expelled the English Jews. King Charles VI of France followed the English example in 1394, virtually ending Jewish history in France until modern times.</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During the period of the so-called Black Death in the 14th century, massacres of Jews were common throughout Europe, on the charge that Jews had caused the plague by poisoning Christian wells. In Spain systematic persecution by the church resulted in mass conversions by Jews attempting to save their lives. In many cases, such conversions were merely outward; a class of converts called Marranos (Spanish for “swine”) arose, professing Roman Catholicism but adhering to Judaism in secret. The Spanish Inquisition, instituted in 1478, persecuted the Marranos, and in 1492 Spain expelled the Jews. Their expulsion from Portugal followed in 1497.</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 xml:space="preserve">The exiles from western Europe found refuge in the eastern part of the continent. Thousands of Spanish Jews migrated to European Turkey, which preserved the Islamic policy of toleration, and Constantinople became the site of the largest Jewish community in Europe during the 16th century. Most of the Jews expelled from England, France, Germany, and Switzerland settled in Poland and Russia; by 1648 the Polish community included more than </w:t>
      </w:r>
      <w:r>
        <w:rPr>
          <w:rFonts w:ascii="Arial" w:hAnsi="Arial" w:cs="Arial"/>
        </w:rPr>
        <w:lastRenderedPageBreak/>
        <w:t>500,000 Jews. The Polish Jews came to possess their own autonomous organization within the Polish Kingdom and became the center of Jewish activity. Then came the persecutions of 1648 to 1658, carried out by followers of Bohdan Khmelnytsky, leader of the cossacks in the Ukraine, in which countless Jewish communities of Poland were destroyed, and a decline of eastern European Jewry was initiated. Jews — then being barred from the professions, craft guilds, farming, and large commercial enterprises — were forced to live by petty commerce.</w:t>
      </w:r>
      <w:r>
        <w:rPr>
          <w:rFonts w:ascii="Arial" w:hAnsi="Arial" w:cs="Arial"/>
          <w:sz w:val="24"/>
          <w:szCs w:val="24"/>
        </w:rPr>
        <w:t xml:space="preserve"> </w:t>
      </w:r>
      <w:r>
        <w:rPr>
          <w:rFonts w:ascii="Arial" w:hAnsi="Arial" w:cs="Arial"/>
        </w:rPr>
        <w:t>By the end of the 16th century only remnants of the old Jewish communities remained in western Europe.</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4"/>
          <w:szCs w:val="24"/>
        </w:rPr>
        <w:tab/>
      </w:r>
      <w:r>
        <w:rPr>
          <w:rFonts w:ascii="Arial" w:hAnsi="Arial" w:cs="Arial"/>
        </w:rPr>
        <w:t>With the gradual increase in political and social freedom following the Protestant Reformation, however, tolerance for Jews was reestablished in the West. The new freedom came first to England, where, after 1650, the immigration of Jews was encouraged by the Commonwealth under the military and political leader Oliver Cromwell. Jews were also encouraged to settle in the English colonies in America by such influential men as the philosopher John Locke and the colonial preacher Roger Williams. In France the Jews were enfranchised by the National Assembly in 1791, in the wake of the egalitarian ideology of the French Revolution (1789-1799), and Napoleon I, during his military campaigns, opened ghettos and emancipated the Jews as he marched across Europe. A revival of repression occurred after 1815, when the states once subject to Napoleon refused to adopt his policies, including that of Jewish emancipation, which they regarded as a tendency to liberalism. This temporary reaction, however, lasted only for a few decades, and in the 1860s Jewish emancipation in western Europe was nominally secure.</w:t>
      </w:r>
    </w:p>
    <w:p w:rsidR="00937F91" w:rsidRDefault="00937F91">
      <w:pPr>
        <w:widowControl w:val="0"/>
        <w:autoSpaceDE w:val="0"/>
        <w:autoSpaceDN w:val="0"/>
        <w:adjustRightInd w:val="0"/>
        <w:spacing w:after="0" w:line="240" w:lineRule="auto"/>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i/>
          <w:iCs/>
        </w:rPr>
        <w:tab/>
      </w:r>
      <w:r>
        <w:rPr>
          <w:rFonts w:ascii="Arial" w:hAnsi="Arial" w:cs="Arial"/>
        </w:rPr>
        <w:t>In eastern Europe, on the other hand, the previous policy of Jewish tolerance was reversed, and Poland and Russia instituted official policies of persecution to offset any possible liberal tendencies. Such persecution equaled that inflicted on Jews during medieval times, particularly after the partition of Poland and the incorporation of eastern Poland into the Russian Empire between 1772 and 1796. The new Russian territory contained most of the Polish Jews, on whom severe restrictions were imposed. Jews were forbidden to live outside specific areas, and their educational and occupational opportunities were narrowly circumscribed. In addition, the imperial government encouraged and even financed periodic massacres of Jews, called pogroms, in order to divert the attention of the Russian populace from their discontent with the feudalistic system still prevailing in the late 19th century. The government instituted even sterner anti-Jewish measures as it tried to isolate and render ineffective any possible political influence by Russian Jews, who were importing western European ideas and knowledge into Russia. This intense persecution endured until the Russian Revolution, which overthrew the czarist regime in 1917. As a result of the pogroms, between 1890 and the end of World War I (1914-1918), about 2 million Jews emigrated to the United States from areas under Russian control. Other colonies of eastern European Jews were founded in Canada, South America (notably in Argentina), the Union of South Africa, and Palestine.</w:t>
      </w:r>
    </w:p>
    <w:p w:rsidR="00937F91" w:rsidRDefault="00937F91">
      <w:pPr>
        <w:widowControl w:val="0"/>
        <w:autoSpaceDE w:val="0"/>
        <w:autoSpaceDN w:val="0"/>
        <w:adjustRightInd w:val="0"/>
        <w:spacing w:after="0" w:line="240" w:lineRule="auto"/>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rPr>
      </w:pPr>
      <w:r>
        <w:rPr>
          <w:rFonts w:ascii="Arial" w:hAnsi="Arial" w:cs="Arial"/>
          <w:i/>
          <w:iCs/>
        </w:rPr>
        <w:tab/>
      </w:r>
      <w:r>
        <w:rPr>
          <w:rFonts w:ascii="Arial" w:hAnsi="Arial" w:cs="Arial"/>
        </w:rPr>
        <w:t xml:space="preserve">Jewish immigration to the western hemisphere began almost immediately after the founding of the first American colonies. Numerous Sephardic Jews (of Spanish or Portuguese descent) first settled in Brazil; only Marranos were permitted, however, and persecution by the </w:t>
      </w:r>
      <w:r>
        <w:rPr>
          <w:rFonts w:ascii="Arial" w:hAnsi="Arial" w:cs="Arial"/>
        </w:rPr>
        <w:lastRenderedPageBreak/>
        <w:t>Inquisition resulted in their subsequent flight from Brazil. The first North American community of Jews was established in 1654 by some of these Brazilian Marranos, thenceforth openly professing Judaism, in the Dutch colony of New Amsterdam (now New York City). Other groups of Jews settled in such cities as Philadelphia, Pennsylvania; Newport and Providence, Rhode Island; and Savannah, Georgia.</w:t>
      </w: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At the time of the American Revolution, about 1780, the Jewish population of the colonies numbered an estimated 2000. Several of these colonial Jews became prominent during the period, notably Aaron Lopez of Rhode Island and Massachusetts, one of the leading merchants in the colonies, and Haym Salomon, a famous financier and one of the principal contributors to the financing of the revolutionary army. During the greater part of the 19th century, most Jewish immigrants to the United States came from Germany, after 1815 as a result of anti-Jewish feeling following the downfall of Napoleon, and after 1848 following an unsuccessful German revolution. During the next 40 years almost 3 million Jews came to the United States, mainly from eastern Europe. This flood of immigrants, however, constituted the population of entire communities and even provinces, which preserved their communal identity on settling in the large cities along the Atlantic coast. Large-scale immigration ceased in 1924, when quota restrictions were enacted.</w:t>
      </w:r>
    </w:p>
    <w:p w:rsidR="00937F91" w:rsidRDefault="00937F91">
      <w:pPr>
        <w:widowControl w:val="0"/>
        <w:autoSpaceDE w:val="0"/>
        <w:autoSpaceDN w:val="0"/>
        <w:adjustRightInd w:val="0"/>
        <w:spacing w:after="0" w:line="240" w:lineRule="auto"/>
        <w:rPr>
          <w:rFonts w:ascii="Arial" w:hAnsi="Arial" w:cs="Arial"/>
          <w:sz w:val="24"/>
          <w:szCs w:val="24"/>
        </w:rPr>
      </w:pPr>
    </w:p>
    <w:p w:rsidR="00937F91" w:rsidRDefault="00937F91">
      <w:pPr>
        <w:widowControl w:val="0"/>
        <w:autoSpaceDE w:val="0"/>
        <w:autoSpaceDN w:val="0"/>
        <w:adjustRightInd w:val="0"/>
        <w:spacing w:after="140" w:line="280" w:lineRule="atLeast"/>
        <w:ind w:right="180"/>
        <w:rPr>
          <w:rFonts w:ascii="Arial" w:hAnsi="Arial" w:cs="Arial"/>
        </w:rPr>
      </w:pPr>
      <w:r>
        <w:rPr>
          <w:rFonts w:ascii="Arial" w:hAnsi="Arial" w:cs="Arial"/>
          <w:i/>
          <w:iCs/>
        </w:rPr>
        <w:tab/>
      </w:r>
      <w:r>
        <w:rPr>
          <w:rFonts w:ascii="Arial" w:hAnsi="Arial" w:cs="Arial"/>
        </w:rPr>
        <w:t>The emancipation of the Jews had far-reaching religious, cultural, and political effects. Slowly, as Jews took their place in the modern world, the wall erected around the Jewish community by strict, traditional Judaism began to crumble. Moses Mendelssohn exerted enormous influence in bringing about the adjustment of Judaism, both as a religion and as a way of life, to the outside world. By translating the Pentateuch into German and teaching the value of cultural affiliations between Jews and their non-Jewish environment, Mendelssohn opened the route for the cultural contributions made by later Jews, both to the Jewish community and to the world.  . . .</w:t>
      </w:r>
    </w:p>
    <w:p w:rsidR="00937F91" w:rsidRDefault="00937F91">
      <w:pPr>
        <w:widowControl w:val="0"/>
        <w:autoSpaceDE w:val="0"/>
        <w:autoSpaceDN w:val="0"/>
        <w:adjustRightInd w:val="0"/>
        <w:spacing w:after="140" w:line="280" w:lineRule="atLeast"/>
        <w:ind w:right="180"/>
        <w:rPr>
          <w:rFonts w:ascii="Arial" w:hAnsi="Arial" w:cs="Arial"/>
        </w:rPr>
      </w:pPr>
    </w:p>
    <w:p w:rsidR="00937F91" w:rsidRDefault="00937F91">
      <w:pPr>
        <w:widowControl w:val="0"/>
        <w:autoSpaceDE w:val="0"/>
        <w:autoSpaceDN w:val="0"/>
        <w:adjustRightInd w:val="0"/>
        <w:spacing w:after="140" w:line="280" w:lineRule="atLeast"/>
        <w:ind w:right="180"/>
        <w:rPr>
          <w:rFonts w:ascii="Arial" w:hAnsi="Arial" w:cs="Arial"/>
          <w:sz w:val="24"/>
          <w:szCs w:val="24"/>
        </w:rPr>
      </w:pPr>
      <w:r>
        <w:rPr>
          <w:rFonts w:ascii="Arial" w:hAnsi="Arial" w:cs="Arial"/>
        </w:rPr>
        <w:tab/>
        <w:t xml:space="preserve">. . .  In the late 19th century   . . .   in Germany and France, particularly, a movement opposing the Jews came into being. It was called anti-Semitism, because its followers based their opposition not on the Jewish religion but on what they considered the Jewish race: the Semites. Political parties were formed in such countries as Germany, France, Austria, and Hungary to keep Jews from occupying positions of eminence. In France, anti-Semitism became a predominant political issue with the so-called Dreyfus affair, which began with the trial, on false evidence, of a Jewish army officer, Alfred Dreyfus.    . . .  </w:t>
      </w:r>
      <w:r w:rsidRPr="00572E84">
        <w:rPr>
          <w:rStyle w:val="FootnoteReference"/>
        </w:rPr>
        <w:footnoteReference w:id="3"/>
      </w:r>
    </w:p>
    <w:p w:rsidR="00937F91" w:rsidRDefault="00937F91">
      <w:pPr>
        <w:widowControl w:val="0"/>
        <w:autoSpaceDE w:val="0"/>
        <w:autoSpaceDN w:val="0"/>
        <w:adjustRightInd w:val="0"/>
        <w:spacing w:after="140" w:line="280" w:lineRule="atLeast"/>
        <w:ind w:right="180"/>
        <w:rPr>
          <w:rFonts w:ascii="Arial" w:hAnsi="Arial" w:cs="Arial"/>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24"/>
          <w:szCs w:val="24"/>
        </w:rPr>
      </w:pPr>
    </w:p>
    <w:p w:rsidR="00937F91" w:rsidRDefault="00937F91">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937F91" w:rsidRDefault="00937F91">
      <w:pPr>
        <w:widowControl w:val="0"/>
        <w:autoSpaceDE w:val="0"/>
        <w:autoSpaceDN w:val="0"/>
        <w:adjustRightInd w:val="0"/>
        <w:spacing w:after="0" w:line="240" w:lineRule="auto"/>
        <w:rPr>
          <w:rFonts w:ascii="Times New Roman" w:hAnsi="Times New Roman"/>
          <w:sz w:val="34"/>
          <w:szCs w:val="34"/>
        </w:rPr>
      </w:pPr>
    </w:p>
    <w:p w:rsidR="00937F91" w:rsidRDefault="00937F91">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p w:rsidR="00937F91" w:rsidRDefault="00937F91">
      <w:pPr>
        <w:widowControl w:val="0"/>
        <w:autoSpaceDE w:val="0"/>
        <w:autoSpaceDN w:val="0"/>
        <w:adjustRightInd w:val="0"/>
        <w:spacing w:after="0" w:line="240" w:lineRule="auto"/>
        <w:rPr>
          <w:rFonts w:ascii="Times New Roman" w:hAnsi="Times New Roman"/>
          <w:sz w:val="24"/>
          <w:szCs w:val="24"/>
        </w:rPr>
      </w:pPr>
    </w:p>
    <w:sectPr w:rsidR="00937F91" w:rsidSect="00937F91">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401" w:rsidRDefault="00620401" w:rsidP="00937F91">
      <w:pPr>
        <w:spacing w:after="0" w:line="240" w:lineRule="auto"/>
      </w:pPr>
      <w:r>
        <w:separator/>
      </w:r>
    </w:p>
  </w:endnote>
  <w:endnote w:type="continuationSeparator" w:id="0">
    <w:p w:rsidR="00620401" w:rsidRDefault="00620401" w:rsidP="00937F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F91" w:rsidRDefault="00937F91">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401" w:rsidRDefault="00620401" w:rsidP="00937F91">
      <w:pPr>
        <w:spacing w:after="0" w:line="240" w:lineRule="auto"/>
      </w:pPr>
      <w:r>
        <w:separator/>
      </w:r>
    </w:p>
  </w:footnote>
  <w:footnote w:type="continuationSeparator" w:id="0">
    <w:p w:rsidR="00620401" w:rsidRDefault="00620401" w:rsidP="00937F91">
      <w:pPr>
        <w:spacing w:after="0" w:line="240" w:lineRule="auto"/>
      </w:pPr>
      <w:r>
        <w:continuationSeparator/>
      </w:r>
    </w:p>
  </w:footnote>
  <w:footnote w:id="1">
    <w:p w:rsidR="00937F91" w:rsidRDefault="00937F91">
      <w:pPr>
        <w:widowControl w:val="0"/>
        <w:autoSpaceDE w:val="0"/>
        <w:autoSpaceDN w:val="0"/>
        <w:adjustRightInd w:val="0"/>
        <w:spacing w:before="150" w:after="0" w:line="240" w:lineRule="auto"/>
        <w:ind w:left="720" w:right="720"/>
        <w:rPr>
          <w:rFonts w:ascii="Times New Roman" w:hAnsi="Times New Roman"/>
        </w:rPr>
      </w:pPr>
      <w:r w:rsidRPr="00572E84">
        <w:rPr>
          <w:rStyle w:val="FootnoteReference"/>
        </w:rPr>
        <w:footnoteRef/>
      </w:r>
      <w:r>
        <w:rPr>
          <w:rFonts w:ascii="Arial" w:hAnsi="Arial" w:cs="Arial"/>
          <w:sz w:val="20"/>
          <w:szCs w:val="20"/>
        </w:rPr>
        <w:t xml:space="preserve"> "Ferdinand V,"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2">
    <w:p w:rsidR="00937F91" w:rsidRDefault="00937F91">
      <w:pPr>
        <w:widowControl w:val="0"/>
        <w:autoSpaceDE w:val="0"/>
        <w:autoSpaceDN w:val="0"/>
        <w:adjustRightInd w:val="0"/>
        <w:spacing w:before="150" w:after="0" w:line="240" w:lineRule="auto"/>
        <w:ind w:left="720" w:right="720"/>
        <w:rPr>
          <w:rFonts w:ascii="Times New Roman" w:hAnsi="Times New Roman"/>
        </w:rPr>
      </w:pPr>
      <w:r w:rsidRPr="00572E84">
        <w:rPr>
          <w:rStyle w:val="FootnoteReference"/>
        </w:rPr>
        <w:footnoteRef/>
      </w:r>
      <w:r>
        <w:rPr>
          <w:rFonts w:ascii="Arial" w:hAnsi="Arial" w:cs="Arial"/>
          <w:sz w:val="20"/>
          <w:szCs w:val="20"/>
        </w:rPr>
        <w:t xml:space="preserve"> "Inquisition,"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3">
    <w:p w:rsidR="00937F91" w:rsidRDefault="00937F91">
      <w:pPr>
        <w:widowControl w:val="0"/>
        <w:autoSpaceDE w:val="0"/>
        <w:autoSpaceDN w:val="0"/>
        <w:adjustRightInd w:val="0"/>
        <w:spacing w:before="150" w:after="0" w:line="240" w:lineRule="auto"/>
        <w:ind w:left="720" w:right="720"/>
        <w:rPr>
          <w:rFonts w:ascii="Times New Roman" w:hAnsi="Times New Roman"/>
        </w:rPr>
      </w:pPr>
      <w:r w:rsidRPr="00572E84">
        <w:rPr>
          <w:rStyle w:val="FootnoteReference"/>
        </w:rPr>
        <w:footnoteRef/>
      </w:r>
      <w:r>
        <w:rPr>
          <w:rFonts w:ascii="Arial" w:hAnsi="Arial" w:cs="Arial"/>
          <w:sz w:val="20"/>
          <w:szCs w:val="20"/>
        </w:rPr>
        <w:t xml:space="preserve"> "Jews,"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F91" w:rsidRDefault="00937F91">
    <w:pPr>
      <w:widowControl w:val="0"/>
      <w:tabs>
        <w:tab w:val="center" w:pos="4320"/>
        <w:tab w:val="right" w:pos="8640"/>
      </w:tabs>
      <w:autoSpaceDE w:val="0"/>
      <w:autoSpaceDN w:val="0"/>
      <w:adjustRightInd w:val="0"/>
      <w:spacing w:after="0" w:line="240" w:lineRule="auto"/>
      <w:rPr>
        <w:rFonts w:ascii="Arial" w:hAnsi="Arial" w:cs="Arial"/>
        <w:color w:val="808080"/>
        <w:sz w:val="20"/>
        <w:szCs w:val="20"/>
      </w:rPr>
    </w:pPr>
    <w:r>
      <w:rPr>
        <w:rFonts w:ascii="Arial" w:hAnsi="Arial" w:cs="Arial"/>
        <w:color w:val="808080"/>
        <w:sz w:val="20"/>
        <w:szCs w:val="20"/>
      </w:rPr>
      <w:tab/>
    </w:r>
    <w:r>
      <w:rPr>
        <w:rFonts w:ascii="Arial" w:hAnsi="Arial" w:cs="Arial"/>
        <w:color w:val="808080"/>
        <w:sz w:val="20"/>
        <w:szCs w:val="20"/>
      </w:rPr>
      <w:tab/>
    </w:r>
    <w:r>
      <w:rPr>
        <w:rFonts w:ascii="Arial" w:hAnsi="Arial" w:cs="Arial"/>
        <w:color w:val="808080"/>
        <w:sz w:val="20"/>
        <w:szCs w:val="20"/>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7F91"/>
    <w:rsid w:val="00572E84"/>
    <w:rsid w:val="00620401"/>
    <w:rsid w:val="00937F91"/>
    <w:rsid w:val="00AD606C"/>
    <w:rsid w:val="00F65E0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06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572E84"/>
    <w:rPr>
      <w:vertAlign w:val="superscript"/>
    </w:rPr>
  </w:style>
  <w:style w:type="character" w:styleId="FootnoteReference">
    <w:name w:val="footnote reference"/>
    <w:basedOn w:val="DefaultParagraphFont"/>
    <w:uiPriority w:val="99"/>
    <w:semiHidden/>
    <w:unhideWhenUsed/>
    <w:rsid w:val="00572E8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2346</Words>
  <Characters>13377</Characters>
  <Application>Microsoft Office Word</Application>
  <DocSecurity>0</DocSecurity>
  <Lines>111</Lines>
  <Paragraphs>31</Paragraphs>
  <ScaleCrop>false</ScaleCrop>
  <Company/>
  <LinksUpToDate>false</LinksUpToDate>
  <CharactersWithSpaces>15692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2016-07-30T16:31:00Z</dcterms:created>
  <dcterms:modified xsi:type="dcterms:W3CDTF">2016-07-30T16:35:00Z</dcterms:modified>
</cp:coreProperties>
</file>